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8" w:rsidRDefault="007E7378"/>
    <w:p w:rsidR="001E6D17" w:rsidRDefault="001E6D17"/>
    <w:p w:rsidR="001E6D17" w:rsidRDefault="001E6D17"/>
    <w:p w:rsidR="001E6D17" w:rsidRPr="001E6D17" w:rsidRDefault="001E6D17">
      <w:p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DOPOLNJENA DOKUMENTACIJA – IZMERE OKENJSKIH STEKEL IN OKENSKIH OKVIRJEV</w:t>
      </w: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Pri posredovanju podatkov za površino okenskih stekel in dolžino okenskih okvirjev so bili navedeni napačni podatki.</w:t>
      </w: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Pravilni podatki so:</w:t>
      </w: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 w:rsidP="001E6D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objekti na lokaciji Jamova cesta 39 v Ljubljani</w:t>
      </w:r>
    </w:p>
    <w:p w:rsidR="001E6D17" w:rsidRPr="001E6D17" w:rsidRDefault="001E6D17" w:rsidP="001E6D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 xml:space="preserve">skupna površina okenskih stekel je 6.100 m2 od tega je 480 m2 na višini do 11,5 m </w:t>
      </w:r>
    </w:p>
    <w:p w:rsidR="001E6D17" w:rsidRPr="001E6D17" w:rsidRDefault="001E6D17" w:rsidP="001E6D1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skupna dolžina okenskih okvirjev je 24.070 m1 od tega 810 m1 na višini do 11,5 m</w:t>
      </w:r>
    </w:p>
    <w:p w:rsidR="001E6D17" w:rsidRPr="001E6D17" w:rsidRDefault="001E6D17" w:rsidP="001E6D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objekti na lokaciji Reaktorskega centra v Beričevem</w:t>
      </w:r>
    </w:p>
    <w:p w:rsidR="001E6D17" w:rsidRPr="001E6D17" w:rsidRDefault="001E6D17" w:rsidP="001E6D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 xml:space="preserve">skupna površina okenskih stekel je 2.470 m2 od tega je 404 m2 na višini do 6 m </w:t>
      </w:r>
    </w:p>
    <w:p w:rsidR="001E6D17" w:rsidRPr="001E6D17" w:rsidRDefault="001E6D17" w:rsidP="001E6D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skupna dolžina okenskih okvirjev je 8.100 m1 od tega 998 m1 na višini do 6 m.</w:t>
      </w: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</w:p>
    <w:p w:rsidR="001E6D17" w:rsidRPr="001E6D17" w:rsidRDefault="001E6D17" w:rsidP="001E6D17">
      <w:pPr>
        <w:rPr>
          <w:rFonts w:ascii="Arial" w:hAnsi="Arial" w:cs="Arial"/>
          <w:sz w:val="24"/>
          <w:szCs w:val="24"/>
        </w:rPr>
      </w:pPr>
      <w:r w:rsidRPr="001E6D17">
        <w:rPr>
          <w:rFonts w:ascii="Arial" w:hAnsi="Arial" w:cs="Arial"/>
          <w:sz w:val="24"/>
          <w:szCs w:val="24"/>
        </w:rPr>
        <w:t>Vse podane površine okenskih stekel in dolžine okenskih okvirjev so štete dvojno (obojestransko čiščenje okenskih stekel in okenskih okvirjev)</w:t>
      </w:r>
      <w:r w:rsidRPr="001E6D17">
        <w:rPr>
          <w:rFonts w:ascii="Arial" w:hAnsi="Arial" w:cs="Arial"/>
          <w:color w:val="1F497D"/>
          <w:sz w:val="24"/>
          <w:szCs w:val="24"/>
        </w:rPr>
        <w:t>.</w:t>
      </w:r>
    </w:p>
    <w:p w:rsidR="001E6D17" w:rsidRPr="001E6D17" w:rsidRDefault="001E6D17">
      <w:pPr>
        <w:rPr>
          <w:rFonts w:ascii="Arial" w:hAnsi="Arial" w:cs="Arial"/>
          <w:sz w:val="24"/>
          <w:szCs w:val="24"/>
        </w:rPr>
      </w:pPr>
    </w:p>
    <w:sectPr w:rsidR="001E6D17" w:rsidRPr="001E6D17" w:rsidSect="007E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CF4"/>
    <w:multiLevelType w:val="hybridMultilevel"/>
    <w:tmpl w:val="B65ED3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6D17"/>
    <w:rsid w:val="001E6D17"/>
    <w:rsid w:val="007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17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2011-04-08T12:29:00Z</dcterms:created>
  <dcterms:modified xsi:type="dcterms:W3CDTF">2011-04-08T12:35:00Z</dcterms:modified>
</cp:coreProperties>
</file>